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</w:pPr>
      <w:r>
        <w:rPr>
          <w:rStyle w:val="4"/>
          <w:rFonts w:hint="eastAsia" w:ascii="宋体" w:hAnsi="宋体" w:eastAsia="宋体" w:cs="微软雅黑"/>
          <w:bCs w:val="0"/>
          <w:color w:val="000000"/>
          <w:kern w:val="0"/>
          <w:sz w:val="44"/>
          <w:szCs w:val="44"/>
          <w:lang w:val="en-US" w:eastAsia="zh-CN" w:bidi="ar"/>
        </w:rPr>
        <w:t>热用户办理恢复供热业务标准化服务指南</w:t>
      </w:r>
    </w:p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服务事项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热用户办理恢复供热业务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网上受理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服务对象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双桥区、高新区已接入集中供热的热用户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事项内容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办理本取暖期恢复供热业务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办理依据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1.《河北省供热用热办法》第40条。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申办条件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1.办理恢复供热应为一个完整取暖期。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2.有供热费用未结清的房屋不得办理恢复供热。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3.在当年9月30日前办理。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申办材料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1.房屋产权人办理的：出具本人有效身份证件。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2.委托他人办理的：出具受托人有效身份证件，房屋产权人授权书和有效身份证件复印件。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3.提交制式的恢复供热申请书。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办理流程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供热单位营业窗口：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提交申办材料；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3" w:lineRule="atLeast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交纳本年取暖费；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3" w:lineRule="atLeast"/>
              <w:ind w:leftChars="0" w:right="0" w:rightChars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3.供热单位工作人员与热用户电话预约后上门实施恢复供热操作，热用户签字确认。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告知方式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窗口告知、电话告知。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办理时限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1.窗口不超过10分钟办结。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2.网络平台不超过5分钟办结。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3.存在费用及其他争议的，责成专人帮助办理。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受理单位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供热公司、龙新热力公司各营业网点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咨询方式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24小时开通的966866客服热线。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收费标准及依据</w:t>
            </w:r>
          </w:p>
        </w:tc>
        <w:tc>
          <w:tcPr>
            <w:tcW w:w="8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无收费项目</w:t>
            </w:r>
          </w:p>
        </w:tc>
      </w:tr>
    </w:tbl>
    <w:p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lang w:val="en-US" w:eastAsia="zh-CN" w:bidi="ar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B99A"/>
    <w:multiLevelType w:val="singleLevel"/>
    <w:tmpl w:val="4F0EB9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32476"/>
    <w:rsid w:val="250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2020-11-12T07:04:00Z</dcterms:created>
  <dc:creator>海杰</dc:creator>
  <cp:lastModifiedBy>海杰</cp:lastModifiedBy>
  <dcterms:modified xsi:type="dcterms:W3CDTF">2020-11-12T07:04:33Z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