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val="en-US" w:eastAsia="zh-CN"/>
        </w:rPr>
      </w:pPr>
      <w:r>
        <w:rPr>
          <w:rFonts w:hint="eastAsia"/>
          <w:b/>
          <w:bCs/>
          <w:sz w:val="32"/>
          <w:szCs w:val="32"/>
          <w:lang w:val="en-US" w:eastAsia="zh-CN"/>
        </w:rPr>
        <w:t>国网冀北电力有限公司承德供电公司</w:t>
      </w:r>
    </w:p>
    <w:p>
      <w:pPr>
        <w:jc w:val="center"/>
        <w:rPr>
          <w:rFonts w:hint="eastAsia"/>
          <w:b/>
          <w:bCs/>
          <w:sz w:val="32"/>
          <w:szCs w:val="32"/>
          <w:lang w:val="en-US" w:eastAsia="zh-CN"/>
        </w:rPr>
      </w:pPr>
      <w:r>
        <w:rPr>
          <w:rFonts w:hint="eastAsia"/>
          <w:b/>
          <w:bCs/>
          <w:sz w:val="32"/>
          <w:szCs w:val="32"/>
          <w:lang w:val="en-US" w:eastAsia="zh-CN"/>
        </w:rPr>
        <w:t>服务指南</w:t>
      </w:r>
    </w:p>
    <w:p>
      <w:pPr>
        <w:numPr>
          <w:ilvl w:val="0"/>
          <w:numId w:val="1"/>
        </w:numPr>
        <w:jc w:val="left"/>
        <w:rPr>
          <w:rFonts w:hint="eastAsia"/>
          <w:sz w:val="28"/>
          <w:szCs w:val="28"/>
          <w:lang w:val="en-US" w:eastAsia="zh-CN"/>
        </w:rPr>
      </w:pPr>
      <w:r>
        <w:rPr>
          <w:rFonts w:hint="eastAsia"/>
          <w:b/>
          <w:bCs/>
          <w:sz w:val="28"/>
          <w:szCs w:val="28"/>
          <w:lang w:val="en-US" w:eastAsia="zh-CN"/>
        </w:rPr>
        <w:t>事项名称：</w:t>
      </w:r>
      <w:r>
        <w:rPr>
          <w:rFonts w:hint="eastAsia"/>
          <w:b w:val="0"/>
          <w:bCs w:val="0"/>
          <w:sz w:val="28"/>
          <w:szCs w:val="28"/>
          <w:lang w:val="en-US" w:eastAsia="zh-CN"/>
        </w:rPr>
        <w:t>高压客户新装、增容服务</w:t>
      </w:r>
    </w:p>
    <w:p>
      <w:pPr>
        <w:numPr>
          <w:ilvl w:val="0"/>
          <w:numId w:val="1"/>
        </w:numPr>
        <w:jc w:val="left"/>
        <w:rPr>
          <w:rFonts w:hint="default"/>
          <w:sz w:val="28"/>
          <w:szCs w:val="28"/>
          <w:lang w:val="en-US" w:eastAsia="zh-CN"/>
        </w:rPr>
      </w:pPr>
      <w:r>
        <w:rPr>
          <w:rFonts w:hint="eastAsia"/>
          <w:b/>
          <w:bCs/>
          <w:sz w:val="28"/>
          <w:szCs w:val="28"/>
          <w:lang w:val="en-US" w:eastAsia="zh-CN"/>
        </w:rPr>
        <w:t>适用范围：</w:t>
      </w:r>
      <w:r>
        <w:rPr>
          <w:rFonts w:hint="eastAsia"/>
          <w:b w:val="0"/>
          <w:bCs w:val="0"/>
          <w:sz w:val="28"/>
          <w:szCs w:val="28"/>
          <w:lang w:val="en-US" w:eastAsia="zh-CN"/>
        </w:rPr>
        <w:t>高压客户</w:t>
      </w:r>
    </w:p>
    <w:p>
      <w:pPr>
        <w:numPr>
          <w:ilvl w:val="0"/>
          <w:numId w:val="1"/>
        </w:numPr>
        <w:jc w:val="left"/>
        <w:rPr>
          <w:rFonts w:hint="default"/>
          <w:b w:val="0"/>
          <w:bCs w:val="0"/>
          <w:sz w:val="28"/>
          <w:szCs w:val="28"/>
          <w:lang w:val="en-US" w:eastAsia="zh-CN"/>
        </w:rPr>
      </w:pPr>
      <w:r>
        <w:rPr>
          <w:rFonts w:hint="eastAsia"/>
          <w:b/>
          <w:bCs/>
          <w:sz w:val="28"/>
          <w:szCs w:val="28"/>
          <w:lang w:val="en-US" w:eastAsia="zh-CN"/>
        </w:rPr>
        <w:t>设立依据：</w:t>
      </w:r>
      <w:r>
        <w:rPr>
          <w:rFonts w:hint="eastAsia"/>
          <w:b w:val="0"/>
          <w:bCs w:val="0"/>
          <w:sz w:val="28"/>
          <w:szCs w:val="28"/>
          <w:lang w:val="en-US" w:eastAsia="zh-CN"/>
        </w:rPr>
        <w:t>《供电营业规则》、《国家电网有限公司关于印发持续优化营商环境提升供电服务水平两年行动计划的通知》（国家电网办【2018】1028号）、优化电力营商环境，冀北公司“办电一次成”文件等。</w:t>
      </w:r>
    </w:p>
    <w:p>
      <w:pPr>
        <w:numPr>
          <w:ilvl w:val="0"/>
          <w:numId w:val="1"/>
        </w:numPr>
        <w:jc w:val="left"/>
        <w:rPr>
          <w:rFonts w:hint="default"/>
          <w:b/>
          <w:bCs/>
          <w:sz w:val="28"/>
          <w:szCs w:val="28"/>
          <w:lang w:val="en-US" w:eastAsia="zh-CN"/>
        </w:rPr>
      </w:pPr>
      <w:r>
        <w:rPr>
          <w:rFonts w:hint="eastAsia"/>
          <w:b/>
          <w:bCs/>
          <w:sz w:val="28"/>
          <w:szCs w:val="28"/>
          <w:lang w:val="en-US" w:eastAsia="zh-CN"/>
        </w:rPr>
        <w:t>办理时限：</w:t>
      </w:r>
    </w:p>
    <w:p>
      <w:pPr>
        <w:numPr>
          <w:ilvl w:val="0"/>
          <w:numId w:val="2"/>
        </w:numPr>
        <w:jc w:val="left"/>
        <w:rPr>
          <w:rFonts w:hint="eastAsia"/>
          <w:sz w:val="28"/>
          <w:szCs w:val="28"/>
          <w:lang w:val="en-US" w:eastAsia="zh-CN"/>
        </w:rPr>
      </w:pPr>
      <w:r>
        <w:rPr>
          <w:rFonts w:hint="eastAsia"/>
          <w:sz w:val="28"/>
          <w:szCs w:val="28"/>
          <w:lang w:val="en-US" w:eastAsia="zh-CN"/>
        </w:rPr>
        <w:t>法定时限：大中型企业平均接电时长60天以内。</w:t>
      </w:r>
    </w:p>
    <w:p>
      <w:pPr>
        <w:numPr>
          <w:ilvl w:val="0"/>
          <w:numId w:val="2"/>
        </w:numPr>
        <w:jc w:val="left"/>
        <w:rPr>
          <w:rFonts w:hint="default"/>
          <w:sz w:val="28"/>
          <w:szCs w:val="28"/>
          <w:lang w:val="en-US" w:eastAsia="zh-CN"/>
        </w:rPr>
      </w:pPr>
      <w:r>
        <w:rPr>
          <w:rFonts w:hint="eastAsia"/>
          <w:sz w:val="28"/>
          <w:szCs w:val="28"/>
          <w:lang w:val="en-US" w:eastAsia="zh-CN"/>
        </w:rPr>
        <w:t>承诺时限：大中型企业平均接电时长60天以内。</w:t>
      </w:r>
    </w:p>
    <w:p>
      <w:pPr>
        <w:numPr>
          <w:ilvl w:val="0"/>
          <w:numId w:val="1"/>
        </w:numPr>
        <w:ind w:left="0" w:leftChars="0" w:firstLine="0" w:firstLineChars="0"/>
        <w:jc w:val="left"/>
        <w:rPr>
          <w:rFonts w:hint="eastAsia"/>
          <w:sz w:val="28"/>
          <w:szCs w:val="28"/>
          <w:lang w:val="en-US" w:eastAsia="zh-CN"/>
        </w:rPr>
      </w:pPr>
      <w:r>
        <w:rPr>
          <w:rFonts w:hint="eastAsia"/>
          <w:b/>
          <w:bCs/>
          <w:sz w:val="28"/>
          <w:szCs w:val="28"/>
          <w:lang w:val="en-US" w:eastAsia="zh-CN"/>
        </w:rPr>
        <w:t>申请条件：</w:t>
      </w:r>
      <w:r>
        <w:rPr>
          <w:rFonts w:hint="eastAsia"/>
          <w:b w:val="0"/>
          <w:bCs w:val="0"/>
          <w:sz w:val="28"/>
          <w:szCs w:val="28"/>
          <w:lang w:val="en-US" w:eastAsia="zh-CN"/>
        </w:rPr>
        <w:t>高压客户新装、增容</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申请材料：</w:t>
      </w:r>
    </w:p>
    <w:p>
      <w:pPr>
        <w:keepNext w:val="0"/>
        <w:keepLines w:val="0"/>
        <w:pageBreakBefore w:val="0"/>
        <w:widowControl w:val="0"/>
        <w:numPr>
          <w:ilvl w:val="0"/>
          <w:numId w:val="0"/>
        </w:numPr>
        <w:tabs>
          <w:tab w:val="left" w:pos="5121"/>
        </w:tabs>
        <w:kinsoku/>
        <w:wordWrap/>
        <w:overflowPunct/>
        <w:topLinePunct w:val="0"/>
        <w:autoSpaceDE/>
        <w:autoSpaceDN/>
        <w:bidi w:val="0"/>
        <w:adjustRightInd/>
        <w:snapToGrid/>
        <w:ind w:firstLine="562" w:firstLineChars="200"/>
        <w:jc w:val="left"/>
        <w:textAlignment w:val="auto"/>
        <w:outlineLvl w:val="9"/>
        <w:rPr>
          <w:rFonts w:hint="eastAsia"/>
          <w:b/>
          <w:bCs/>
          <w:sz w:val="28"/>
          <w:szCs w:val="28"/>
          <w:lang w:val="en-US" w:eastAsia="zh-CN"/>
        </w:rPr>
      </w:pPr>
      <w:r>
        <w:rPr>
          <w:rFonts w:hint="eastAsia"/>
          <w:b/>
          <w:bCs/>
          <w:sz w:val="28"/>
          <w:szCs w:val="28"/>
          <w:lang w:val="en-US" w:eastAsia="zh-CN"/>
        </w:rPr>
        <w:t>高压居民：</w:t>
      </w:r>
      <w:r>
        <w:rPr>
          <w:rFonts w:hint="eastAsia"/>
          <w:b/>
          <w:bCs/>
          <w:sz w:val="28"/>
          <w:szCs w:val="28"/>
          <w:lang w:val="en-US" w:eastAsia="zh-CN"/>
        </w:rPr>
        <w:tab/>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b w:val="0"/>
          <w:bCs w:val="0"/>
          <w:sz w:val="28"/>
          <w:szCs w:val="28"/>
          <w:lang w:val="en-US" w:eastAsia="zh-CN"/>
        </w:rPr>
        <w:t>1、</w:t>
      </w:r>
      <w:r>
        <w:rPr>
          <w:rFonts w:hint="eastAsia"/>
          <w:sz w:val="28"/>
          <w:szCs w:val="28"/>
          <w:lang w:val="en-US" w:eastAsia="zh-CN"/>
        </w:rPr>
        <w:t xml:space="preserve">用电人有效身份证明，包括居民身份证、临时身份证、户口 本、军官证或士兵证、台胞证、港澳通行证、外国护照、外国永久居留证（绿卡），或其它有效身份证明文书等。提供原件。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 xml:space="preserve">2、用电地址权属证明， 包括房屋产权所有证（ 或购房合同）、 租赁协议（还需同时提供承租户房屋产权证明）、法院判决文书（必须明确房屋产权所有人）等。房屋产权所有证、购房合同、租赁协议提供原件，承租户房屋产权证明、法院判决文书可提供复印件。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3、若您暂时无法提供房屋产权证明，我们将提供“一证受理”服务。在您签署《客户承诺书》后，我们将先行受理，启动后续工作。</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outlineLvl w:val="9"/>
        <w:rPr>
          <w:rFonts w:hint="eastAsia"/>
          <w:b/>
          <w:bCs/>
          <w:sz w:val="28"/>
          <w:szCs w:val="28"/>
          <w:lang w:val="en-US" w:eastAsia="zh-CN"/>
        </w:rPr>
      </w:pPr>
      <w:r>
        <w:rPr>
          <w:rFonts w:hint="eastAsia"/>
          <w:b/>
          <w:bCs/>
          <w:sz w:val="28"/>
          <w:szCs w:val="28"/>
          <w:lang w:val="en-US" w:eastAsia="zh-CN"/>
        </w:rPr>
        <w:t>高压非居民：</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用电人有效身份证明，包括营业执照、组织机构代码证等。营业执照、组织机构代码证原则上应提供原件（副本也可），如提供复印件时企事业单位应加盖公章；</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用电地址权属证明，包括房屋产权所有证（或购房合同）或土地使用证、租赁协议（还需同时提供承租户房屋产权证明或土地使用证）、法院判决文书（必须明确房屋或土地产权所有人）等。房屋产权所有证、土地使用证、购房合同、租赁协议原则上应提供原件，承租户房屋产权证明或土地使用证、法院判决文书可提供复印件；如提供复印件时企事业单位应加盖公章；</w:t>
      </w:r>
    </w:p>
    <w:p>
      <w:pPr>
        <w:pStyle w:val="4"/>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3、</w:t>
      </w:r>
      <w:r>
        <w:rPr>
          <w:rFonts w:hint="eastAsia" w:asciiTheme="minorHAnsi" w:hAnsiTheme="minorHAnsi" w:eastAsiaTheme="minorEastAsia" w:cstheme="minorBidi"/>
          <w:kern w:val="2"/>
          <w:sz w:val="28"/>
          <w:szCs w:val="28"/>
          <w:lang w:val="en-US" w:eastAsia="zh-CN" w:bidi="ar-SA"/>
        </w:rPr>
        <w:t>企业、工商、事业单位、社会团体的申请用电委托代理人办理时，应提供：</w:t>
      </w:r>
    </w:p>
    <w:p>
      <w:pPr>
        <w:pStyle w:val="4"/>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（1）授权委托书或单位介绍信（原件）；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 xml:space="preserve">（2）经办人有效身份证明（包括身份证、军人证、护照、户口簿或公安机关户籍证明等）。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4、</w:t>
      </w:r>
      <w:r>
        <w:rPr>
          <w:rFonts w:hint="eastAsia" w:asciiTheme="minorHAnsi" w:hAnsiTheme="minorHAnsi" w:eastAsiaTheme="minorEastAsia" w:cstheme="minorBidi"/>
          <w:kern w:val="2"/>
          <w:sz w:val="28"/>
          <w:szCs w:val="28"/>
          <w:lang w:val="en-US" w:eastAsia="zh-CN" w:bidi="ar-SA"/>
        </w:rPr>
        <w:t xml:space="preserve">当地发改部门关于项目立项的批复、核准、备案文件， 或当地规划部门关于项目的建设工程规划许可证。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5、煤矿客户需增加以下资料: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（1）采矿许可证；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（2）安全生产许可证。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6、非煤矿山客户需增加以下资料: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（1）采矿许可证；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（2）安全生产许可证；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（3）政府主管部门批准文件。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7、对学校、敬老院等涉及国家优待电价的应提供当地教育部门、民政部门等政府有权部门核发的办学许可证、社会福利机构设置批准证书等资质证明。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8、若您暂时无法提供房屋产权证明或土地权属证明文件，我们将提供“一证受理”服务。在您签署《客户承诺书》后，我们将先行受理，启动后续工作。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default"/>
          <w:sz w:val="28"/>
          <w:szCs w:val="28"/>
          <w:lang w:val="en-US" w:eastAsia="zh-CN"/>
        </w:rPr>
      </w:pPr>
      <w:r>
        <w:rPr>
          <w:rFonts w:hint="eastAsia"/>
          <w:sz w:val="28"/>
          <w:szCs w:val="28"/>
          <w:lang w:val="en-US" w:eastAsia="zh-CN"/>
        </w:rPr>
        <w:t>9、增容用电时，客户前期已提供、且在有效期以内的资料无需再次提供。</w:t>
      </w:r>
    </w:p>
    <w:p>
      <w:pPr>
        <w:numPr>
          <w:ilvl w:val="0"/>
          <w:numId w:val="1"/>
        </w:numPr>
        <w:ind w:left="0" w:leftChars="0" w:firstLine="0" w:firstLineChars="0"/>
        <w:jc w:val="left"/>
        <w:rPr>
          <w:rFonts w:hint="default"/>
          <w:b/>
          <w:bCs/>
          <w:sz w:val="28"/>
          <w:szCs w:val="28"/>
          <w:lang w:val="en-US" w:eastAsia="zh-CN"/>
        </w:rPr>
      </w:pPr>
      <w:r>
        <w:rPr>
          <w:rFonts w:hint="eastAsia"/>
          <w:b/>
          <w:bCs/>
          <w:sz w:val="28"/>
          <w:szCs w:val="28"/>
          <w:lang w:val="en-US" w:eastAsia="zh-CN"/>
        </w:rPr>
        <w:t>办理方式：</w:t>
      </w:r>
    </w:p>
    <w:p>
      <w:pPr>
        <w:numPr>
          <w:ilvl w:val="0"/>
          <w:numId w:val="4"/>
        </w:numPr>
        <w:ind w:leftChars="0"/>
        <w:jc w:val="left"/>
        <w:rPr>
          <w:rFonts w:hint="eastAsia"/>
          <w:sz w:val="28"/>
          <w:szCs w:val="28"/>
          <w:lang w:val="en-US" w:eastAsia="zh-CN"/>
        </w:rPr>
      </w:pPr>
      <w:r>
        <w:rPr>
          <w:rFonts w:hint="eastAsia"/>
          <w:sz w:val="28"/>
          <w:szCs w:val="28"/>
          <w:lang w:val="en-US" w:eastAsia="zh-CN"/>
        </w:rPr>
        <w:t>窗口办理：承德供电公司各级营业厅</w:t>
      </w:r>
    </w:p>
    <w:p>
      <w:pPr>
        <w:numPr>
          <w:ilvl w:val="0"/>
          <w:numId w:val="4"/>
        </w:numPr>
        <w:ind w:leftChars="0"/>
        <w:jc w:val="left"/>
        <w:rPr>
          <w:rFonts w:hint="default"/>
          <w:sz w:val="28"/>
          <w:szCs w:val="28"/>
          <w:lang w:val="en-US" w:eastAsia="zh-CN"/>
        </w:rPr>
      </w:pPr>
      <w:r>
        <w:rPr>
          <w:rFonts w:hint="eastAsia"/>
          <w:sz w:val="28"/>
          <w:szCs w:val="28"/>
          <w:lang w:val="en-US" w:eastAsia="zh-CN"/>
        </w:rPr>
        <w:t>网上申报：“网上国网”手机APP、95598网站</w:t>
      </w:r>
    </w:p>
    <w:p>
      <w:pPr>
        <w:numPr>
          <w:ilvl w:val="0"/>
          <w:numId w:val="1"/>
        </w:numPr>
        <w:ind w:left="0" w:leftChars="0" w:firstLine="0" w:firstLineChars="0"/>
        <w:jc w:val="left"/>
        <w:rPr>
          <w:rFonts w:hint="eastAsia"/>
          <w:b/>
          <w:bCs/>
          <w:sz w:val="28"/>
          <w:szCs w:val="28"/>
          <w:lang w:val="en-US" w:eastAsia="zh-CN"/>
        </w:rPr>
      </w:pPr>
      <w:r>
        <w:rPr>
          <w:rFonts w:hint="eastAsia"/>
          <w:b/>
          <w:bCs/>
          <w:sz w:val="28"/>
          <w:szCs w:val="28"/>
          <w:lang w:val="en-US" w:eastAsia="zh-CN"/>
        </w:rPr>
        <w:t>办理流程及描述：</w:t>
      </w:r>
    </w:p>
    <w:p>
      <w:pPr>
        <w:keepNext w:val="0"/>
        <w:keepLines w:val="0"/>
        <w:pageBreakBefore w:val="0"/>
        <w:widowControl w:val="0"/>
        <w:numPr>
          <w:ilvl w:val="0"/>
          <w:numId w:val="5"/>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申请受理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请您按照材料提供要求准备申请资料，若您暂时无法提供全部资料，我们将提供“一证受理”服务。在您签署《承诺书》后，我们将先行受理，启动后续工作。</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560" w:firstLineChars="200"/>
        <w:jc w:val="left"/>
        <w:textAlignment w:val="auto"/>
        <w:outlineLvl w:val="9"/>
        <w:rPr>
          <w:rFonts w:hint="eastAsia"/>
          <w:sz w:val="28"/>
          <w:szCs w:val="28"/>
          <w:lang w:val="en-US" w:eastAsia="zh-CN"/>
        </w:rPr>
      </w:pPr>
      <w:r>
        <w:rPr>
          <w:rFonts w:hint="eastAsia"/>
          <w:sz w:val="28"/>
          <w:szCs w:val="28"/>
          <w:lang w:val="en-US" w:eastAsia="zh-CN"/>
        </w:rPr>
        <w:t>供电方案答复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在受理您用电申请后，我们将安排客户经理按照与您约定的时间到现场查看供电条件，并在15个工作日（双电源客户30个工作日）内答复供电方案。根据国家《供电营业规则》规定，产权分界点以下部分由您负责施工，产权分界点以上工程由供电企业负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3、外部工程施工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请您自主选择有相应资质的设计单位开展受电工程设计。对于重要或特殊负荷客户，设计完成后，请及时提交设计文件，我们将在5个工作日内完成审查；其他客户仅查验设计单位资质文件。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请您自主选择有相应资质的施工单位开展受电工程施工。对于重要或特殊负荷客户，在电缆管沟、接地网等隐蔽工程覆盖前，请及时通知我们进行中间检查，我们将于3个工作日内完成中间检查。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工程竣工后，请及时报验，我们将于5个工作日内完成竣工检验。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4、装表接电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sz w:val="28"/>
          <w:szCs w:val="28"/>
          <w:lang w:val="en-US" w:eastAsia="zh-CN"/>
        </w:rPr>
      </w:pPr>
      <w:r>
        <w:rPr>
          <w:rFonts w:hint="eastAsia"/>
          <w:sz w:val="28"/>
          <w:szCs w:val="28"/>
          <w:lang w:val="en-US" w:eastAsia="zh-CN"/>
        </w:rPr>
        <w:t>在竣工检验合格，签订《供用电合同》及相关协议，并按照政府物价部门批准的收费标准结清业务费用后（目前对申请新装及增容用电容量的两路及以上多回路供电（含备用电源、保安电源）用电户，除供电容量最大的一路供电回路外，对其余供电回路征收高可靠性供电费用），我们将在5个工作日内为您装表接电。</w:t>
      </w:r>
    </w:p>
    <w:p>
      <w:pPr>
        <w:numPr>
          <w:ilvl w:val="0"/>
          <w:numId w:val="1"/>
        </w:numPr>
        <w:ind w:left="0" w:leftChars="0" w:firstLine="0" w:firstLineChars="0"/>
        <w:jc w:val="left"/>
        <w:rPr>
          <w:rFonts w:hint="default"/>
          <w:sz w:val="28"/>
          <w:szCs w:val="28"/>
          <w:lang w:val="en-US" w:eastAsia="zh-CN"/>
        </w:rPr>
      </w:pPr>
      <w:r>
        <w:rPr>
          <w:rFonts w:hint="eastAsia"/>
          <w:b/>
          <w:bCs/>
          <w:sz w:val="28"/>
          <w:szCs w:val="28"/>
          <w:lang w:val="en-US" w:eastAsia="zh-CN"/>
        </w:rPr>
        <w:t>特别程序及时限：</w:t>
      </w:r>
      <w:r>
        <w:rPr>
          <w:rFonts w:hint="eastAsia"/>
          <w:sz w:val="28"/>
          <w:szCs w:val="28"/>
          <w:lang w:val="en-US" w:eastAsia="zh-CN"/>
        </w:rPr>
        <w:t>无</w:t>
      </w:r>
    </w:p>
    <w:p>
      <w:pPr>
        <w:numPr>
          <w:ilvl w:val="0"/>
          <w:numId w:val="1"/>
        </w:numPr>
        <w:ind w:left="0" w:leftChars="0" w:firstLine="0" w:firstLineChars="0"/>
        <w:jc w:val="left"/>
        <w:rPr>
          <w:rFonts w:hint="default"/>
          <w:sz w:val="28"/>
          <w:szCs w:val="28"/>
          <w:lang w:val="en-US" w:eastAsia="zh-CN"/>
        </w:rPr>
      </w:pPr>
      <w:r>
        <w:rPr>
          <w:rFonts w:hint="eastAsia"/>
          <w:b/>
          <w:bCs/>
          <w:sz w:val="28"/>
          <w:szCs w:val="28"/>
          <w:lang w:val="en-US" w:eastAsia="zh-CN"/>
        </w:rPr>
        <w:t>收费依据及标准：</w:t>
      </w:r>
    </w:p>
    <w:p>
      <w:pPr>
        <w:keepNext w:val="0"/>
        <w:keepLines w:val="0"/>
        <w:pageBreakBefore w:val="0"/>
        <w:widowControl w:val="0"/>
        <w:numPr>
          <w:ilvl w:val="0"/>
          <w:numId w:val="6"/>
        </w:numPr>
        <w:kinsoku/>
        <w:wordWrap/>
        <w:overflowPunct/>
        <w:topLinePunct w:val="0"/>
        <w:autoSpaceDE/>
        <w:autoSpaceDN/>
        <w:bidi w:val="0"/>
        <w:adjustRightInd/>
        <w:snapToGrid/>
        <w:ind w:leftChars="0" w:firstLine="560" w:firstLineChars="200"/>
        <w:jc w:val="left"/>
        <w:textAlignment w:val="auto"/>
        <w:outlineLvl w:val="9"/>
        <w:rPr>
          <w:rFonts w:hint="eastAsia"/>
          <w:b w:val="0"/>
          <w:bCs w:val="0"/>
          <w:sz w:val="28"/>
          <w:szCs w:val="28"/>
          <w:lang w:val="en-US" w:eastAsia="zh-CN"/>
        </w:rPr>
      </w:pPr>
      <w:r>
        <w:rPr>
          <w:rFonts w:hint="eastAsia"/>
          <w:b w:val="0"/>
          <w:bCs w:val="0"/>
          <w:sz w:val="28"/>
          <w:szCs w:val="28"/>
          <w:lang w:val="en-US" w:eastAsia="zh-CN"/>
        </w:rPr>
        <w:t>发改办价格【2018】787号文件、《河北省物价局关于全省实施煤电价格联动有关问题的通知》及《关于下发（高可靠性供电费用管理办法）的通知》、《关于进一步规范做好业扩全流程服务的通知》</w:t>
      </w:r>
    </w:p>
    <w:p>
      <w:pPr>
        <w:keepNext w:val="0"/>
        <w:keepLines w:val="0"/>
        <w:pageBreakBefore w:val="0"/>
        <w:widowControl w:val="0"/>
        <w:numPr>
          <w:ilvl w:val="0"/>
          <w:numId w:val="6"/>
        </w:numPr>
        <w:kinsoku/>
        <w:wordWrap/>
        <w:overflowPunct/>
        <w:topLinePunct w:val="0"/>
        <w:autoSpaceDE/>
        <w:autoSpaceDN/>
        <w:bidi w:val="0"/>
        <w:adjustRightInd/>
        <w:snapToGrid/>
        <w:ind w:leftChars="0" w:firstLine="560" w:firstLineChars="200"/>
        <w:jc w:val="left"/>
        <w:textAlignment w:val="auto"/>
        <w:outlineLvl w:val="9"/>
        <w:rPr>
          <w:rFonts w:hint="default"/>
          <w:b w:val="0"/>
          <w:bCs w:val="0"/>
          <w:sz w:val="28"/>
          <w:szCs w:val="28"/>
          <w:lang w:val="en-US" w:eastAsia="zh-CN"/>
        </w:rPr>
      </w:pPr>
      <w:r>
        <w:rPr>
          <w:rFonts w:hint="eastAsia"/>
          <w:b w:val="0"/>
          <w:bCs w:val="0"/>
          <w:sz w:val="28"/>
          <w:szCs w:val="28"/>
          <w:lang w:val="en-US" w:eastAsia="zh-CN"/>
        </w:rPr>
        <w:t>对于专线按照架空线路的和电缆线路长度所占比例计费，收费应按照占比较大的线路类型进行收取。非专线按电缆线路或架空线路计费。</w:t>
      </w:r>
    </w:p>
    <w:p>
      <w:pPr>
        <w:numPr>
          <w:ilvl w:val="0"/>
          <w:numId w:val="1"/>
        </w:numPr>
        <w:ind w:left="0" w:leftChars="0" w:firstLine="0" w:firstLineChars="0"/>
        <w:jc w:val="left"/>
        <w:rPr>
          <w:rFonts w:hint="default"/>
          <w:sz w:val="28"/>
          <w:szCs w:val="28"/>
          <w:lang w:val="en-US" w:eastAsia="zh-CN"/>
        </w:rPr>
      </w:pPr>
      <w:r>
        <w:rPr>
          <w:rFonts w:hint="eastAsia"/>
          <w:b/>
          <w:bCs/>
          <w:sz w:val="28"/>
          <w:szCs w:val="28"/>
          <w:lang w:val="en-US" w:eastAsia="zh-CN"/>
        </w:rPr>
        <w:t>结果送达：</w:t>
      </w:r>
      <w:r>
        <w:rPr>
          <w:rFonts w:hint="eastAsia"/>
          <w:sz w:val="28"/>
          <w:szCs w:val="28"/>
          <w:lang w:val="en-US" w:eastAsia="zh-CN"/>
        </w:rPr>
        <w:t>上门服务</w:t>
      </w:r>
    </w:p>
    <w:p>
      <w:pPr>
        <w:numPr>
          <w:ilvl w:val="0"/>
          <w:numId w:val="1"/>
        </w:numPr>
        <w:tabs>
          <w:tab w:val="left" w:pos="816"/>
        </w:tabs>
        <w:ind w:left="0" w:leftChars="0" w:firstLine="0" w:firstLineChars="0"/>
        <w:jc w:val="left"/>
        <w:rPr>
          <w:rFonts w:hint="default"/>
          <w:b/>
          <w:bCs/>
          <w:sz w:val="28"/>
          <w:szCs w:val="28"/>
          <w:lang w:val="en-US" w:eastAsia="zh-CN"/>
        </w:rPr>
      </w:pPr>
      <w:r>
        <w:rPr>
          <w:rFonts w:hint="eastAsia"/>
          <w:b/>
          <w:bCs/>
          <w:sz w:val="28"/>
          <w:szCs w:val="28"/>
          <w:lang w:val="en-US" w:eastAsia="zh-CN"/>
        </w:rPr>
        <w:t>咨询方式：</w:t>
      </w:r>
    </w:p>
    <w:p>
      <w:pPr>
        <w:numPr>
          <w:ilvl w:val="0"/>
          <w:numId w:val="7"/>
        </w:numPr>
        <w:ind w:leftChars="0"/>
        <w:jc w:val="left"/>
        <w:rPr>
          <w:rFonts w:hint="eastAsia"/>
          <w:sz w:val="28"/>
          <w:szCs w:val="28"/>
          <w:lang w:val="en-US" w:eastAsia="zh-CN"/>
        </w:rPr>
      </w:pPr>
      <w:r>
        <w:rPr>
          <w:rFonts w:hint="eastAsia"/>
          <w:sz w:val="28"/>
          <w:szCs w:val="28"/>
          <w:lang w:val="en-US" w:eastAsia="zh-CN"/>
        </w:rPr>
        <w:t>现场咨询：承德供电公司各级营业厅</w:t>
      </w:r>
    </w:p>
    <w:p>
      <w:pPr>
        <w:numPr>
          <w:ilvl w:val="0"/>
          <w:numId w:val="7"/>
        </w:numPr>
        <w:ind w:leftChars="0"/>
        <w:jc w:val="left"/>
        <w:rPr>
          <w:rFonts w:hint="default"/>
          <w:sz w:val="28"/>
          <w:szCs w:val="28"/>
          <w:lang w:val="en-US" w:eastAsia="zh-CN"/>
        </w:rPr>
      </w:pPr>
      <w:r>
        <w:rPr>
          <w:rFonts w:hint="eastAsia"/>
          <w:sz w:val="28"/>
          <w:szCs w:val="28"/>
          <w:lang w:val="en-US" w:eastAsia="zh-CN"/>
        </w:rPr>
        <w:t>电话咨询：0314-2097051</w:t>
      </w:r>
    </w:p>
    <w:p>
      <w:pPr>
        <w:numPr>
          <w:ilvl w:val="0"/>
          <w:numId w:val="7"/>
        </w:numPr>
        <w:ind w:leftChars="0"/>
        <w:jc w:val="left"/>
        <w:rPr>
          <w:rFonts w:hint="default"/>
          <w:sz w:val="28"/>
          <w:szCs w:val="28"/>
          <w:lang w:val="en-US" w:eastAsia="zh-CN"/>
        </w:rPr>
      </w:pPr>
      <w:r>
        <w:rPr>
          <w:rFonts w:hint="eastAsia"/>
          <w:sz w:val="28"/>
          <w:szCs w:val="28"/>
          <w:lang w:val="en-US" w:eastAsia="zh-CN"/>
        </w:rPr>
        <w:t>网上咨询：“网上国网”手机APP、95598网站</w:t>
      </w:r>
    </w:p>
    <w:p>
      <w:pPr>
        <w:numPr>
          <w:ilvl w:val="0"/>
          <w:numId w:val="0"/>
        </w:numPr>
        <w:jc w:val="left"/>
        <w:rPr>
          <w:rFonts w:hint="default"/>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9D755"/>
    <w:multiLevelType w:val="singleLevel"/>
    <w:tmpl w:val="8789D755"/>
    <w:lvl w:ilvl="0" w:tentative="0">
      <w:start w:val="1"/>
      <w:numFmt w:val="chineseCounting"/>
      <w:suff w:val="nothing"/>
      <w:lvlText w:val="（%1）"/>
      <w:lvlJc w:val="left"/>
      <w:rPr>
        <w:rFonts w:hint="eastAsia"/>
      </w:rPr>
    </w:lvl>
  </w:abstractNum>
  <w:abstractNum w:abstractNumId="1">
    <w:nsid w:val="8D6D52F2"/>
    <w:multiLevelType w:val="singleLevel"/>
    <w:tmpl w:val="8D6D52F2"/>
    <w:lvl w:ilvl="0" w:tentative="0">
      <w:start w:val="1"/>
      <w:numFmt w:val="decimal"/>
      <w:suff w:val="nothing"/>
      <w:lvlText w:val="%1、"/>
      <w:lvlJc w:val="left"/>
    </w:lvl>
  </w:abstractNum>
  <w:abstractNum w:abstractNumId="2">
    <w:nsid w:val="CDB0D4CA"/>
    <w:multiLevelType w:val="singleLevel"/>
    <w:tmpl w:val="CDB0D4CA"/>
    <w:lvl w:ilvl="0" w:tentative="0">
      <w:start w:val="1"/>
      <w:numFmt w:val="chineseCounting"/>
      <w:suff w:val="nothing"/>
      <w:lvlText w:val="%1、"/>
      <w:lvlJc w:val="left"/>
      <w:rPr>
        <w:rFonts w:hint="eastAsia"/>
      </w:rPr>
    </w:lvl>
  </w:abstractNum>
  <w:abstractNum w:abstractNumId="3">
    <w:nsid w:val="D85307D0"/>
    <w:multiLevelType w:val="singleLevel"/>
    <w:tmpl w:val="D85307D0"/>
    <w:lvl w:ilvl="0" w:tentative="0">
      <w:start w:val="1"/>
      <w:numFmt w:val="decimal"/>
      <w:suff w:val="nothing"/>
      <w:lvlText w:val="%1、"/>
      <w:lvlJc w:val="left"/>
    </w:lvl>
  </w:abstractNum>
  <w:abstractNum w:abstractNumId="4">
    <w:nsid w:val="EB11D49E"/>
    <w:multiLevelType w:val="singleLevel"/>
    <w:tmpl w:val="EB11D49E"/>
    <w:lvl w:ilvl="0" w:tentative="0">
      <w:start w:val="1"/>
      <w:numFmt w:val="chineseCounting"/>
      <w:suff w:val="nothing"/>
      <w:lvlText w:val="（%1）"/>
      <w:lvlJc w:val="left"/>
      <w:rPr>
        <w:rFonts w:hint="eastAsia"/>
      </w:rPr>
    </w:lvl>
  </w:abstractNum>
  <w:abstractNum w:abstractNumId="5">
    <w:nsid w:val="F451F2C2"/>
    <w:multiLevelType w:val="singleLevel"/>
    <w:tmpl w:val="F451F2C2"/>
    <w:lvl w:ilvl="0" w:tentative="0">
      <w:start w:val="1"/>
      <w:numFmt w:val="chineseCounting"/>
      <w:suff w:val="nothing"/>
      <w:lvlText w:val="（%1）"/>
      <w:lvlJc w:val="left"/>
      <w:rPr>
        <w:rFonts w:hint="eastAsia"/>
      </w:rPr>
    </w:lvl>
  </w:abstractNum>
  <w:abstractNum w:abstractNumId="6">
    <w:nsid w:val="13228672"/>
    <w:multiLevelType w:val="singleLevel"/>
    <w:tmpl w:val="13228672"/>
    <w:lvl w:ilvl="0" w:tentative="0">
      <w:start w:val="1"/>
      <w:numFmt w:val="decimal"/>
      <w:suff w:val="nothing"/>
      <w:lvlText w:val="%1、"/>
      <w:lvlJc w:val="left"/>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1670C"/>
    <w:rsid w:val="0AAA491D"/>
    <w:rsid w:val="0E567EE9"/>
    <w:rsid w:val="14180BEA"/>
    <w:rsid w:val="23C042E6"/>
    <w:rsid w:val="3DF72419"/>
    <w:rsid w:val="4318246D"/>
    <w:rsid w:val="4642386D"/>
    <w:rsid w:val="5C043A52"/>
    <w:rsid w:val="639A6FB8"/>
    <w:rsid w:val="7140427D"/>
    <w:rsid w:val="73F714A4"/>
    <w:rsid w:val="79FD6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_Style 3"/>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海杰</cp:lastModifiedBy>
  <cp:lastPrinted>2020-05-18T02:27:45Z</cp:lastPrinted>
  <dcterms:modified xsi:type="dcterms:W3CDTF">2020-05-18T02:27:51Z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